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6C" w:rsidRPr="00125D6C" w:rsidRDefault="00125D6C" w:rsidP="00125D6C">
      <w:pPr>
        <w:pStyle w:val="Heading2"/>
        <w:spacing w:before="20" w:beforeAutospacing="0" w:after="20" w:afterAutospacing="0"/>
        <w:rPr>
          <w:lang w:val="en-US"/>
        </w:rPr>
      </w:pPr>
      <w:bookmarkStart w:id="0" w:name="_GoBack"/>
      <w:bookmarkEnd w:id="0"/>
      <w:r w:rsidRPr="00125D6C">
        <w:rPr>
          <w:lang w:val="en-US"/>
        </w:rPr>
        <w:t>SKILLS AND METASKILLS SECTION FROM WEBSITE</w:t>
      </w:r>
    </w:p>
    <w:p w:rsidR="00125D6C" w:rsidRDefault="00125D6C" w:rsidP="00125D6C">
      <w:pPr>
        <w:pStyle w:val="Heading2"/>
        <w:spacing w:before="20" w:beforeAutospacing="0" w:after="20" w:afterAutospacing="0"/>
        <w:rPr>
          <w:lang w:val="en-US"/>
        </w:rPr>
      </w:pPr>
      <w:r>
        <w:rPr>
          <w:lang w:val="en-US"/>
        </w:rPr>
        <w:t>SPANISH TRANSLATION BY MATI VARGAS-GIBSON</w:t>
      </w:r>
    </w:p>
    <w:p w:rsidR="00125D6C" w:rsidRPr="00B12F56" w:rsidRDefault="00125D6C" w:rsidP="00125D6C">
      <w:pPr>
        <w:pStyle w:val="Heading2"/>
        <w:spacing w:before="20" w:beforeAutospacing="0" w:after="20" w:afterAutospacing="0"/>
        <w:rPr>
          <w:lang w:val="es-ES"/>
        </w:rPr>
      </w:pPr>
      <w:r w:rsidRPr="00B12F56">
        <w:rPr>
          <w:lang w:val="es-ES"/>
        </w:rPr>
        <w:t>SEPT 2013</w:t>
      </w:r>
    </w:p>
    <w:p w:rsidR="00125D6C" w:rsidRPr="00B12F56" w:rsidRDefault="00125D6C" w:rsidP="00F65214">
      <w:pPr>
        <w:rPr>
          <w:rFonts w:ascii="Times New Roman" w:hAnsi="Times New Roman"/>
          <w:sz w:val="24"/>
          <w:lang w:val="es-ES"/>
        </w:rPr>
      </w:pPr>
    </w:p>
    <w:p w:rsidR="00F65214" w:rsidRPr="00B12F56" w:rsidRDefault="00F65214" w:rsidP="00F65214">
      <w:pPr>
        <w:rPr>
          <w:rFonts w:ascii="Times New Roman" w:hAnsi="Times New Roman" w:cs="Times New Roman"/>
          <w:color w:val="0070C0"/>
          <w:sz w:val="24"/>
          <w:szCs w:val="24"/>
        </w:rPr>
      </w:pPr>
      <w:r w:rsidRPr="00B12F56">
        <w:rPr>
          <w:rFonts w:ascii="Times New Roman" w:hAnsi="Times New Roman"/>
          <w:color w:val="0070C0"/>
          <w:sz w:val="24"/>
        </w:rPr>
        <w:t xml:space="preserve">Habilidades y </w:t>
      </w:r>
      <w:proofErr w:type="spellStart"/>
      <w:r w:rsidRPr="00B12F56">
        <w:rPr>
          <w:rFonts w:ascii="Times New Roman" w:hAnsi="Times New Roman"/>
          <w:color w:val="0070C0"/>
          <w:sz w:val="24"/>
        </w:rPr>
        <w:t>metahabilidades</w:t>
      </w:r>
      <w:proofErr w:type="spellEnd"/>
    </w:p>
    <w:p w:rsidR="00F65214" w:rsidRPr="00B12F56" w:rsidRDefault="00F65214" w:rsidP="00F65214">
      <w:pPr>
        <w:rPr>
          <w:rFonts w:ascii="Times New Roman" w:hAnsi="Times New Roman" w:cs="Times New Roman"/>
          <w:color w:val="0070C0"/>
          <w:sz w:val="24"/>
          <w:szCs w:val="24"/>
        </w:rPr>
      </w:pPr>
      <w:r w:rsidRPr="00B12F56">
        <w:rPr>
          <w:rFonts w:ascii="Times New Roman" w:hAnsi="Times New Roman"/>
          <w:color w:val="0070C0"/>
          <w:sz w:val="24"/>
        </w:rPr>
        <w:t xml:space="preserve">Habilidades de </w:t>
      </w:r>
      <w:proofErr w:type="spellStart"/>
      <w:r w:rsidRPr="00B12F56">
        <w:rPr>
          <w:rFonts w:ascii="Times New Roman" w:hAnsi="Times New Roman"/>
          <w:color w:val="0070C0"/>
          <w:sz w:val="24"/>
        </w:rPr>
        <w:t>Process</w:t>
      </w:r>
      <w:proofErr w:type="spellEnd"/>
      <w:r w:rsidRPr="00B12F56">
        <w:rPr>
          <w:rFonts w:ascii="Times New Roman" w:hAnsi="Times New Roman"/>
          <w:color w:val="0070C0"/>
          <w:sz w:val="24"/>
        </w:rPr>
        <w:t xml:space="preserve"> </w:t>
      </w:r>
      <w:proofErr w:type="spellStart"/>
      <w:r w:rsidRPr="00B12F56">
        <w:rPr>
          <w:rFonts w:ascii="Times New Roman" w:hAnsi="Times New Roman"/>
          <w:color w:val="0070C0"/>
          <w:sz w:val="24"/>
        </w:rPr>
        <w:t>Work</w:t>
      </w:r>
      <w:proofErr w:type="spellEnd"/>
      <w:r w:rsidRPr="00B12F56">
        <w:rPr>
          <w:rFonts w:ascii="Times New Roman" w:hAnsi="Times New Roman"/>
          <w:color w:val="0070C0"/>
          <w:sz w:val="24"/>
        </w:rPr>
        <w:t xml:space="preserve"> (Psicología orientada a procesos - PW) </w:t>
      </w:r>
    </w:p>
    <w:p w:rsidR="00F65214" w:rsidRPr="00F65214" w:rsidRDefault="00F65214" w:rsidP="00F65214">
      <w:pPr>
        <w:rPr>
          <w:rFonts w:ascii="Times New Roman" w:hAnsi="Times New Roman" w:cs="Times New Roman"/>
          <w:sz w:val="24"/>
          <w:szCs w:val="24"/>
        </w:rPr>
      </w:pPr>
      <w:r>
        <w:rPr>
          <w:rFonts w:ascii="Times New Roman" w:hAnsi="Times New Roman"/>
          <w:sz w:val="24"/>
        </w:rPr>
        <w:t>Las habilidades de PW se pueden aprender en forma cognitiva y pueden ser practicadas por todos. Incluso, todas las habilidades básicas de PW son habilidades de consciencia (</w:t>
      </w:r>
      <w:proofErr w:type="spellStart"/>
      <w:r>
        <w:rPr>
          <w:rFonts w:ascii="Times New Roman" w:hAnsi="Times New Roman"/>
          <w:sz w:val="24"/>
        </w:rPr>
        <w:t>alertancia</w:t>
      </w:r>
      <w:proofErr w:type="spellEnd"/>
      <w:r>
        <w:rPr>
          <w:rFonts w:ascii="Times New Roman" w:hAnsi="Times New Roman"/>
          <w:sz w:val="24"/>
        </w:rPr>
        <w:t>), aunque se sigan respetando las habilidades de otras disciplinas o ciencias aprendidas acerca de un área aplicada en particular.  Dichas habilidades básicas incluyen la captación de:</w:t>
      </w:r>
    </w:p>
    <w:p w:rsidR="00B12F56" w:rsidRPr="00B12F56" w:rsidRDefault="00F65214" w:rsidP="00B12F56">
      <w:pPr>
        <w:pStyle w:val="ListParagraph"/>
        <w:numPr>
          <w:ilvl w:val="0"/>
          <w:numId w:val="2"/>
        </w:numPr>
        <w:rPr>
          <w:rFonts w:ascii="Times New Roman" w:hAnsi="Times New Roman"/>
          <w:sz w:val="24"/>
        </w:rPr>
      </w:pPr>
      <w:r w:rsidRPr="00B12F56">
        <w:rPr>
          <w:rFonts w:ascii="Times New Roman" w:hAnsi="Times New Roman"/>
          <w:sz w:val="24"/>
        </w:rPr>
        <w:t>Señales auditivas y visibles que pueden ser capturadas con una cámara.</w:t>
      </w:r>
    </w:p>
    <w:p w:rsidR="00B12F56" w:rsidRDefault="00F65214" w:rsidP="00B12F56">
      <w:pPr>
        <w:pStyle w:val="ListParagraph"/>
        <w:numPr>
          <w:ilvl w:val="0"/>
          <w:numId w:val="2"/>
        </w:numPr>
        <w:rPr>
          <w:rFonts w:ascii="Times New Roman" w:hAnsi="Times New Roman"/>
          <w:sz w:val="24"/>
        </w:rPr>
      </w:pPr>
      <w:r w:rsidRPr="00B12F56">
        <w:rPr>
          <w:rFonts w:ascii="Times New Roman" w:hAnsi="Times New Roman"/>
          <w:sz w:val="24"/>
        </w:rPr>
        <w:t xml:space="preserve">Señales como de ensoñación y sentimientos que al principio no tienen sentido. </w:t>
      </w:r>
    </w:p>
    <w:p w:rsidR="00F65214" w:rsidRPr="00B12F56" w:rsidRDefault="00F65214" w:rsidP="00B12F56">
      <w:pPr>
        <w:pStyle w:val="ListParagraph"/>
        <w:numPr>
          <w:ilvl w:val="0"/>
          <w:numId w:val="2"/>
        </w:numPr>
        <w:rPr>
          <w:rFonts w:ascii="Times New Roman" w:hAnsi="Times New Roman"/>
          <w:sz w:val="24"/>
        </w:rPr>
      </w:pPr>
      <w:r w:rsidRPr="00B12F56">
        <w:rPr>
          <w:rFonts w:ascii="Times New Roman" w:hAnsi="Times New Roman"/>
          <w:sz w:val="24"/>
        </w:rPr>
        <w:t xml:space="preserve">Señales sutiles, titilantes y </w:t>
      </w:r>
      <w:proofErr w:type="spellStart"/>
      <w:r w:rsidRPr="00B12F56">
        <w:rPr>
          <w:rFonts w:ascii="Times New Roman" w:hAnsi="Times New Roman"/>
          <w:sz w:val="24"/>
        </w:rPr>
        <w:t>evanecientes</w:t>
      </w:r>
      <w:proofErr w:type="spellEnd"/>
      <w:r w:rsidRPr="00B12F56">
        <w:rPr>
          <w:rFonts w:ascii="Times New Roman" w:hAnsi="Times New Roman"/>
          <w:sz w:val="24"/>
        </w:rPr>
        <w:t xml:space="preserve">, </w:t>
      </w:r>
      <w:proofErr w:type="spellStart"/>
      <w:r w:rsidRPr="00B12F56">
        <w:rPr>
          <w:rFonts w:ascii="Times New Roman" w:hAnsi="Times New Roman"/>
          <w:i/>
          <w:sz w:val="24"/>
        </w:rPr>
        <w:t>flirts</w:t>
      </w:r>
      <w:proofErr w:type="spellEnd"/>
      <w:r w:rsidRPr="00B12F56">
        <w:rPr>
          <w:rFonts w:ascii="Times New Roman" w:hAnsi="Times New Roman"/>
          <w:sz w:val="24"/>
        </w:rPr>
        <w:t xml:space="preserve"> ("coqueteos") no repetibles que requieren enfoque, amplificación e imaginación.  </w:t>
      </w:r>
    </w:p>
    <w:p w:rsidR="00F65214" w:rsidRPr="00F65214" w:rsidRDefault="00F65214" w:rsidP="00F65214">
      <w:pPr>
        <w:rPr>
          <w:rFonts w:ascii="Times New Roman" w:hAnsi="Times New Roman" w:cs="Times New Roman"/>
          <w:sz w:val="24"/>
          <w:szCs w:val="24"/>
        </w:rPr>
      </w:pPr>
      <w:r>
        <w:rPr>
          <w:rFonts w:ascii="Times New Roman" w:hAnsi="Times New Roman"/>
          <w:sz w:val="24"/>
        </w:rPr>
        <w:t>Aparte de estas habilidades aprendidas cognitivamente, existen las *</w:t>
      </w:r>
      <w:proofErr w:type="spellStart"/>
      <w:r>
        <w:rPr>
          <w:rFonts w:ascii="Times New Roman" w:hAnsi="Times New Roman"/>
          <w:sz w:val="24"/>
        </w:rPr>
        <w:t>metahabilidades</w:t>
      </w:r>
      <w:proofErr w:type="spellEnd"/>
      <w:r>
        <w:rPr>
          <w:rFonts w:ascii="Times New Roman" w:hAnsi="Times New Roman"/>
          <w:sz w:val="24"/>
        </w:rPr>
        <w:t>* o habilidades del sentir; o sea, la forma en la que utilizamos las habilidades.</w:t>
      </w:r>
      <w:r w:rsidR="00B12F56">
        <w:rPr>
          <w:rFonts w:ascii="Times New Roman" w:hAnsi="Times New Roman"/>
          <w:sz w:val="24"/>
        </w:rPr>
        <w:t xml:space="preserve">  (</w:t>
      </w:r>
      <w:r>
        <w:rPr>
          <w:rFonts w:ascii="Times New Roman" w:hAnsi="Times New Roman"/>
          <w:sz w:val="24"/>
        </w:rPr>
        <w:t>Ver más adelante</w:t>
      </w:r>
      <w:r w:rsidR="00B12F56">
        <w:rPr>
          <w:rFonts w:ascii="Times New Roman" w:hAnsi="Times New Roman"/>
          <w:sz w:val="24"/>
        </w:rPr>
        <w:t>)</w:t>
      </w:r>
      <w:r>
        <w:rPr>
          <w:rFonts w:ascii="Times New Roman" w:hAnsi="Times New Roman"/>
          <w:sz w:val="24"/>
        </w:rPr>
        <w:t>.</w:t>
      </w:r>
    </w:p>
    <w:p w:rsidR="00F65214" w:rsidRPr="00B12F56" w:rsidRDefault="00F65214" w:rsidP="00F65214">
      <w:pPr>
        <w:rPr>
          <w:rFonts w:ascii="Times New Roman" w:hAnsi="Times New Roman" w:cs="Times New Roman"/>
          <w:color w:val="0070C0"/>
          <w:sz w:val="24"/>
          <w:szCs w:val="24"/>
        </w:rPr>
      </w:pPr>
      <w:r w:rsidRPr="00B12F56">
        <w:rPr>
          <w:rFonts w:ascii="Times New Roman" w:hAnsi="Times New Roman"/>
          <w:color w:val="0070C0"/>
          <w:sz w:val="24"/>
        </w:rPr>
        <w:t xml:space="preserve">Objetivos </w:t>
      </w:r>
    </w:p>
    <w:p w:rsidR="00F65214" w:rsidRPr="00F65214" w:rsidRDefault="00F65214" w:rsidP="00F65214">
      <w:pPr>
        <w:rPr>
          <w:rFonts w:ascii="Times New Roman" w:hAnsi="Times New Roman" w:cs="Times New Roman"/>
          <w:sz w:val="24"/>
          <w:szCs w:val="24"/>
        </w:rPr>
      </w:pPr>
      <w:r>
        <w:rPr>
          <w:rFonts w:ascii="Times New Roman" w:hAnsi="Times New Roman"/>
          <w:sz w:val="24"/>
        </w:rPr>
        <w:t xml:space="preserve">El objetivo principal o primario del PW es seguir el Tao a través de las señales visibles y sutiles provenientes de personas y eventos. Eso significa respetar a personas y grupos y al ambiente, al mismo tiempo que se explora la realidad y los niveles de ensoñación y esencia que a menudo aportan soluciones y resoluciones sorprendentes hasta en las situaciones aparentemente intratables. </w:t>
      </w:r>
    </w:p>
    <w:p w:rsidR="00F65214" w:rsidRPr="00B12F56" w:rsidRDefault="00F65214" w:rsidP="00F65214">
      <w:pPr>
        <w:rPr>
          <w:rFonts w:ascii="Times New Roman" w:hAnsi="Times New Roman" w:cs="Times New Roman"/>
          <w:color w:val="0070C0"/>
          <w:sz w:val="24"/>
          <w:szCs w:val="24"/>
        </w:rPr>
      </w:pPr>
      <w:proofErr w:type="spellStart"/>
      <w:r w:rsidRPr="00B12F56">
        <w:rPr>
          <w:rFonts w:ascii="Times New Roman" w:hAnsi="Times New Roman"/>
          <w:color w:val="0070C0"/>
          <w:sz w:val="24"/>
        </w:rPr>
        <w:t>Metahabilidades</w:t>
      </w:r>
      <w:proofErr w:type="spellEnd"/>
      <w:r w:rsidRPr="00B12F56">
        <w:rPr>
          <w:rFonts w:ascii="Times New Roman" w:hAnsi="Times New Roman"/>
          <w:color w:val="0070C0"/>
          <w:sz w:val="24"/>
        </w:rPr>
        <w:t xml:space="preserve">: Habilidades del sentir </w:t>
      </w:r>
    </w:p>
    <w:p w:rsidR="00F65214" w:rsidRPr="00F65214" w:rsidRDefault="00F65214" w:rsidP="00F65214">
      <w:pPr>
        <w:rPr>
          <w:rFonts w:ascii="Times New Roman" w:hAnsi="Times New Roman" w:cs="Times New Roman"/>
          <w:sz w:val="24"/>
          <w:szCs w:val="24"/>
        </w:rPr>
      </w:pPr>
      <w:proofErr w:type="spellStart"/>
      <w:r>
        <w:rPr>
          <w:rFonts w:ascii="Times New Roman" w:hAnsi="Times New Roman"/>
          <w:sz w:val="24"/>
        </w:rPr>
        <w:t>Amy</w:t>
      </w:r>
      <w:proofErr w:type="spellEnd"/>
      <w:r>
        <w:rPr>
          <w:rFonts w:ascii="Times New Roman" w:hAnsi="Times New Roman"/>
          <w:sz w:val="24"/>
        </w:rPr>
        <w:t xml:space="preserve"> creó y definió su término de </w:t>
      </w:r>
      <w:proofErr w:type="spellStart"/>
      <w:r>
        <w:rPr>
          <w:rFonts w:ascii="Times New Roman" w:hAnsi="Times New Roman"/>
          <w:sz w:val="24"/>
        </w:rPr>
        <w:t>Metahabilidades</w:t>
      </w:r>
      <w:proofErr w:type="spellEnd"/>
      <w:r>
        <w:rPr>
          <w:rFonts w:ascii="Times New Roman" w:hAnsi="Times New Roman"/>
          <w:sz w:val="24"/>
        </w:rPr>
        <w:t xml:space="preserve"> en su libro publicado en 1995 por New </w:t>
      </w:r>
      <w:proofErr w:type="spellStart"/>
      <w:r>
        <w:rPr>
          <w:rFonts w:ascii="Times New Roman" w:hAnsi="Times New Roman"/>
          <w:sz w:val="24"/>
        </w:rPr>
        <w:t>Falcon</w:t>
      </w:r>
      <w:proofErr w:type="spellEnd"/>
      <w:r>
        <w:rPr>
          <w:rFonts w:ascii="Times New Roman" w:hAnsi="Times New Roman"/>
          <w:sz w:val="24"/>
        </w:rPr>
        <w:t xml:space="preserve"> </w:t>
      </w:r>
      <w:proofErr w:type="spellStart"/>
      <w:r>
        <w:rPr>
          <w:rFonts w:ascii="Times New Roman" w:hAnsi="Times New Roman"/>
          <w:sz w:val="24"/>
        </w:rPr>
        <w:t>Press</w:t>
      </w:r>
      <w:proofErr w:type="spellEnd"/>
      <w:r>
        <w:rPr>
          <w:rFonts w:ascii="Times New Roman" w:hAnsi="Times New Roman"/>
          <w:sz w:val="24"/>
        </w:rPr>
        <w:t>:</w:t>
      </w:r>
    </w:p>
    <w:p w:rsidR="00F65214" w:rsidRPr="00F65214" w:rsidRDefault="00B12F56" w:rsidP="00F65214">
      <w:pPr>
        <w:rPr>
          <w:rFonts w:ascii="Times New Roman" w:hAnsi="Times New Roman" w:cs="Times New Roman"/>
          <w:sz w:val="24"/>
          <w:szCs w:val="24"/>
        </w:rPr>
      </w:pPr>
      <w:r>
        <w:rPr>
          <w:rFonts w:ascii="Times New Roman" w:hAnsi="Times New Roman"/>
          <w:sz w:val="24"/>
          <w:lang w:val="en-US"/>
        </w:rPr>
        <w:t xml:space="preserve">“METASKILLS: </w:t>
      </w:r>
      <w:r w:rsidR="00F65214" w:rsidRPr="00125D6C">
        <w:rPr>
          <w:rFonts w:ascii="Times New Roman" w:hAnsi="Times New Roman"/>
          <w:sz w:val="24"/>
          <w:lang w:val="en-US"/>
        </w:rPr>
        <w:t xml:space="preserve">THE SPIRITUAL ART OF THERAPY“. </w:t>
      </w:r>
      <w:r w:rsidR="00F65214">
        <w:rPr>
          <w:rFonts w:ascii="Times New Roman" w:hAnsi="Times New Roman"/>
          <w:sz w:val="24"/>
        </w:rPr>
        <w:t>(METAHABILIDADES: EL ARTE ESPIRITUAL DE LA TERAPIA".</w:t>
      </w:r>
    </w:p>
    <w:p w:rsidR="00F65214" w:rsidRPr="00F65214" w:rsidRDefault="00F65214" w:rsidP="00F65214">
      <w:pPr>
        <w:rPr>
          <w:rFonts w:ascii="Times New Roman" w:hAnsi="Times New Roman" w:cs="Times New Roman"/>
          <w:sz w:val="24"/>
          <w:szCs w:val="24"/>
        </w:rPr>
      </w:pPr>
      <w:r>
        <w:rPr>
          <w:rFonts w:ascii="Times New Roman" w:hAnsi="Times New Roman"/>
          <w:sz w:val="24"/>
        </w:rPr>
        <w:t xml:space="preserve">En la página 15 del mismo, dice: "Las actitudes y creencias espirituales profundas se manifiestan en la terapia y en la vida cotidiana... A través de sus sentimientos y actitudes, los terapeutas expresan sus creencias fundamentales acerca de la vida. Esas actitudes permean y configuran todas las técnicas aparentes de los terapeutas. Conceptualmente, yo elevo estos sentimientos </w:t>
      </w:r>
      <w:r>
        <w:rPr>
          <w:rFonts w:ascii="Times New Roman" w:hAnsi="Times New Roman"/>
          <w:sz w:val="24"/>
        </w:rPr>
        <w:lastRenderedPageBreak/>
        <w:t>subyacentes de los terapeutas a "habilidades" que se deben estudiar y cultivar. Son actitudes del sentir que denomino "</w:t>
      </w:r>
      <w:proofErr w:type="spellStart"/>
      <w:r>
        <w:rPr>
          <w:rFonts w:ascii="Times New Roman" w:hAnsi="Times New Roman"/>
          <w:sz w:val="24"/>
        </w:rPr>
        <w:t>metahabilidades</w:t>
      </w:r>
      <w:proofErr w:type="spellEnd"/>
      <w:r>
        <w:rPr>
          <w:rFonts w:ascii="Times New Roman" w:hAnsi="Times New Roman"/>
          <w:sz w:val="24"/>
        </w:rPr>
        <w:t xml:space="preserve">". </w:t>
      </w:r>
    </w:p>
    <w:p w:rsidR="00F65214" w:rsidRPr="00F65214" w:rsidRDefault="00F65214" w:rsidP="00F65214">
      <w:pPr>
        <w:rPr>
          <w:rFonts w:ascii="Times New Roman" w:hAnsi="Times New Roman" w:cs="Times New Roman"/>
          <w:sz w:val="24"/>
          <w:szCs w:val="24"/>
        </w:rPr>
      </w:pPr>
      <w:r>
        <w:rPr>
          <w:rFonts w:ascii="Times New Roman" w:hAnsi="Times New Roman"/>
          <w:sz w:val="24"/>
        </w:rPr>
        <w:t xml:space="preserve">Por lo tanto, las </w:t>
      </w:r>
      <w:proofErr w:type="spellStart"/>
      <w:r>
        <w:rPr>
          <w:rFonts w:ascii="Times New Roman" w:hAnsi="Times New Roman"/>
          <w:sz w:val="24"/>
        </w:rPr>
        <w:t>metahabilidades</w:t>
      </w:r>
      <w:proofErr w:type="spellEnd"/>
      <w:r>
        <w:rPr>
          <w:rFonts w:ascii="Times New Roman" w:hAnsi="Times New Roman"/>
          <w:sz w:val="24"/>
        </w:rPr>
        <w:t xml:space="preserve"> son cualidades de sentimiento, actitudes que avivan las habilidades aprendidas y las hacen útiles. Por ejemplo, una "</w:t>
      </w:r>
      <w:proofErr w:type="spellStart"/>
      <w:r>
        <w:rPr>
          <w:rFonts w:ascii="Times New Roman" w:hAnsi="Times New Roman"/>
          <w:sz w:val="24"/>
        </w:rPr>
        <w:t>metahabilidad</w:t>
      </w:r>
      <w:proofErr w:type="spellEnd"/>
      <w:r>
        <w:rPr>
          <w:rFonts w:ascii="Times New Roman" w:hAnsi="Times New Roman"/>
          <w:sz w:val="24"/>
        </w:rPr>
        <w:t>" importante de todo trabajo profundo y continuo es ir "siguiendo" los sucesos. Los taoístas dirían que se trata de seguir el sentido del Tao, o sea, los eventos que generalmente se pueden observar o que a veces se pueden intuir.</w:t>
      </w:r>
    </w:p>
    <w:p w:rsidR="00F65214" w:rsidRPr="00F65214" w:rsidRDefault="00F65214" w:rsidP="00F65214">
      <w:pPr>
        <w:rPr>
          <w:rFonts w:ascii="Times New Roman" w:hAnsi="Times New Roman" w:cs="Times New Roman"/>
          <w:sz w:val="24"/>
          <w:szCs w:val="24"/>
        </w:rPr>
      </w:pPr>
      <w:r>
        <w:rPr>
          <w:rFonts w:ascii="Times New Roman" w:hAnsi="Times New Roman"/>
          <w:sz w:val="24"/>
        </w:rPr>
        <w:t>El lado místico del trabajo orientado a procesos (</w:t>
      </w:r>
      <w:proofErr w:type="spellStart"/>
      <w:r>
        <w:rPr>
          <w:rFonts w:ascii="Times New Roman" w:hAnsi="Times New Roman"/>
          <w:sz w:val="24"/>
        </w:rPr>
        <w:t>Process</w:t>
      </w:r>
      <w:proofErr w:type="spellEnd"/>
      <w:r>
        <w:rPr>
          <w:rFonts w:ascii="Times New Roman" w:hAnsi="Times New Roman"/>
          <w:sz w:val="24"/>
        </w:rPr>
        <w:t xml:space="preserve"> </w:t>
      </w:r>
      <w:proofErr w:type="spellStart"/>
      <w:r>
        <w:rPr>
          <w:rFonts w:ascii="Times New Roman" w:hAnsi="Times New Roman"/>
          <w:sz w:val="24"/>
        </w:rPr>
        <w:t>Work</w:t>
      </w:r>
      <w:proofErr w:type="spellEnd"/>
      <w:r>
        <w:rPr>
          <w:rFonts w:ascii="Times New Roman" w:hAnsi="Times New Roman"/>
          <w:sz w:val="24"/>
        </w:rPr>
        <w:t>) sigue los eventos (tal como el Tao) que no se pueden mencionar del todo, mientras que la parte concreta y realista (consensuada) del mismo trata con las señales observables, desenvolviéndolas hasta que se expliquen por sí mismas.</w:t>
      </w:r>
    </w:p>
    <w:p w:rsidR="00F65214" w:rsidRPr="00F65214" w:rsidRDefault="00C8781C" w:rsidP="00F65214">
      <w:pPr>
        <w:rPr>
          <w:rFonts w:ascii="Times New Roman" w:hAnsi="Times New Roman" w:cs="Times New Roman"/>
          <w:sz w:val="24"/>
          <w:szCs w:val="24"/>
        </w:rPr>
      </w:pPr>
      <w:hyperlink r:id="rId5">
        <w:r w:rsidR="00F65214" w:rsidRPr="00B12F56">
          <w:rPr>
            <w:rStyle w:val="Hyperlink"/>
            <w:rFonts w:ascii="Times New Roman" w:hAnsi="Times New Roman"/>
            <w:sz w:val="24"/>
            <w:highlight w:val="yellow"/>
          </w:rPr>
          <w:t xml:space="preserve">Artículo sobre </w:t>
        </w:r>
        <w:proofErr w:type="spellStart"/>
        <w:r w:rsidR="00F65214" w:rsidRPr="00B12F56">
          <w:rPr>
            <w:rStyle w:val="Hyperlink"/>
            <w:rFonts w:ascii="Times New Roman" w:hAnsi="Times New Roman"/>
            <w:sz w:val="24"/>
            <w:highlight w:val="yellow"/>
          </w:rPr>
          <w:t>metahabilidades</w:t>
        </w:r>
        <w:proofErr w:type="spellEnd"/>
        <w:r w:rsidR="00F65214" w:rsidRPr="00B12F56">
          <w:rPr>
            <w:rStyle w:val="Hyperlink"/>
            <w:rFonts w:ascii="Times New Roman" w:hAnsi="Times New Roman"/>
            <w:sz w:val="24"/>
            <w:highlight w:val="yellow"/>
          </w:rPr>
          <w:t xml:space="preserve"> en Japón </w:t>
        </w:r>
      </w:hyperlink>
      <w:r w:rsidR="00B12F56" w:rsidRPr="00B12F56">
        <w:rPr>
          <w:rStyle w:val="Hyperlink"/>
          <w:rFonts w:ascii="Times New Roman" w:hAnsi="Times New Roman"/>
          <w:sz w:val="24"/>
          <w:highlight w:val="yellow"/>
        </w:rPr>
        <w:t xml:space="preserve"> (TRANSLATION TO COME!)</w:t>
      </w:r>
    </w:p>
    <w:p w:rsidR="00F65214" w:rsidRPr="00F65214" w:rsidRDefault="00F65214" w:rsidP="00F65214">
      <w:pPr>
        <w:rPr>
          <w:rFonts w:ascii="Times New Roman" w:hAnsi="Times New Roman" w:cs="Times New Roman"/>
          <w:sz w:val="24"/>
          <w:szCs w:val="24"/>
        </w:rPr>
      </w:pPr>
      <w:r>
        <w:rPr>
          <w:rFonts w:ascii="Times New Roman" w:hAnsi="Times New Roman"/>
          <w:sz w:val="24"/>
        </w:rPr>
        <w:t xml:space="preserve">Planteamiento sobre las </w:t>
      </w:r>
      <w:proofErr w:type="spellStart"/>
      <w:r>
        <w:rPr>
          <w:rFonts w:ascii="Times New Roman" w:hAnsi="Times New Roman"/>
          <w:sz w:val="24"/>
        </w:rPr>
        <w:t>metahabilidades</w:t>
      </w:r>
      <w:proofErr w:type="spellEnd"/>
      <w:r>
        <w:rPr>
          <w:rFonts w:ascii="Times New Roman" w:hAnsi="Times New Roman"/>
          <w:sz w:val="24"/>
        </w:rPr>
        <w:t xml:space="preserve"> y su teoría en el Boletín japonés de psicología clínica, por </w:t>
      </w:r>
      <w:proofErr w:type="spellStart"/>
      <w:r>
        <w:rPr>
          <w:rFonts w:ascii="Times New Roman" w:hAnsi="Times New Roman"/>
          <w:sz w:val="24"/>
        </w:rPr>
        <w:t>Kiyoshi</w:t>
      </w:r>
      <w:proofErr w:type="spellEnd"/>
      <w:r>
        <w:rPr>
          <w:rFonts w:ascii="Times New Roman" w:hAnsi="Times New Roman"/>
          <w:sz w:val="24"/>
        </w:rPr>
        <w:t xml:space="preserve"> </w:t>
      </w:r>
      <w:proofErr w:type="spellStart"/>
      <w:r>
        <w:rPr>
          <w:rFonts w:ascii="Times New Roman" w:hAnsi="Times New Roman"/>
          <w:sz w:val="24"/>
        </w:rPr>
        <w:t>Hamano</w:t>
      </w:r>
      <w:proofErr w:type="spellEnd"/>
      <w:r>
        <w:rPr>
          <w:rFonts w:ascii="Times New Roman" w:hAnsi="Times New Roman"/>
          <w:sz w:val="24"/>
        </w:rPr>
        <w:t xml:space="preserve"> (traducción al inglés de </w:t>
      </w:r>
      <w:proofErr w:type="spellStart"/>
      <w:r>
        <w:rPr>
          <w:rFonts w:ascii="Times New Roman" w:hAnsi="Times New Roman"/>
          <w:sz w:val="24"/>
        </w:rPr>
        <w:t>Kazuto</w:t>
      </w:r>
      <w:proofErr w:type="spellEnd"/>
      <w:r>
        <w:rPr>
          <w:rFonts w:ascii="Times New Roman" w:hAnsi="Times New Roman"/>
          <w:sz w:val="24"/>
        </w:rPr>
        <w:t xml:space="preserve"> Sato. Traducción del inglés al español de </w:t>
      </w:r>
      <w:proofErr w:type="spellStart"/>
      <w:r>
        <w:rPr>
          <w:rFonts w:ascii="Times New Roman" w:hAnsi="Times New Roman"/>
          <w:sz w:val="24"/>
        </w:rPr>
        <w:t>Mati</w:t>
      </w:r>
      <w:proofErr w:type="spellEnd"/>
      <w:r>
        <w:rPr>
          <w:rFonts w:ascii="Times New Roman" w:hAnsi="Times New Roman"/>
          <w:sz w:val="24"/>
        </w:rPr>
        <w:t xml:space="preserve"> Vargas-Gibson).</w:t>
      </w:r>
    </w:p>
    <w:p w:rsidR="00F65214" w:rsidRPr="00F65214" w:rsidRDefault="00F65214" w:rsidP="00F65214">
      <w:pPr>
        <w:rPr>
          <w:rFonts w:ascii="Times New Roman" w:hAnsi="Times New Roman" w:cs="Times New Roman"/>
          <w:sz w:val="24"/>
          <w:szCs w:val="24"/>
        </w:rPr>
      </w:pPr>
      <w:r>
        <w:rPr>
          <w:rFonts w:ascii="Times New Roman" w:hAnsi="Times New Roman"/>
          <w:sz w:val="24"/>
        </w:rPr>
        <w:t>El siguiente artículo fue publicado en el Boletín japonés de psicología clínica (“</w:t>
      </w:r>
      <w:proofErr w:type="spellStart"/>
      <w:r>
        <w:rPr>
          <w:rFonts w:ascii="Times New Roman" w:hAnsi="Times New Roman"/>
          <w:sz w:val="24"/>
        </w:rPr>
        <w:t>Japanese</w:t>
      </w:r>
      <w:proofErr w:type="spellEnd"/>
      <w:r>
        <w:rPr>
          <w:rFonts w:ascii="Times New Roman" w:hAnsi="Times New Roman"/>
          <w:sz w:val="24"/>
        </w:rPr>
        <w:t xml:space="preserve"> </w:t>
      </w:r>
      <w:proofErr w:type="spellStart"/>
      <w:r>
        <w:rPr>
          <w:rFonts w:ascii="Times New Roman" w:hAnsi="Times New Roman"/>
          <w:sz w:val="24"/>
        </w:rPr>
        <w:t>Journal</w:t>
      </w:r>
      <w:proofErr w:type="spellEnd"/>
      <w:r>
        <w:rPr>
          <w:rFonts w:ascii="Times New Roman" w:hAnsi="Times New Roman"/>
          <w:sz w:val="24"/>
        </w:rPr>
        <w:t xml:space="preserve"> of </w:t>
      </w:r>
      <w:proofErr w:type="spellStart"/>
      <w:r>
        <w:rPr>
          <w:rFonts w:ascii="Times New Roman" w:hAnsi="Times New Roman"/>
          <w:sz w:val="24"/>
        </w:rPr>
        <w:t>Clinical</w:t>
      </w:r>
      <w:proofErr w:type="spellEnd"/>
      <w:r>
        <w:rPr>
          <w:rFonts w:ascii="Times New Roman" w:hAnsi="Times New Roman"/>
          <w:sz w:val="24"/>
        </w:rPr>
        <w:t xml:space="preserve"> </w:t>
      </w:r>
      <w:proofErr w:type="spellStart"/>
      <w:r>
        <w:rPr>
          <w:rFonts w:ascii="Times New Roman" w:hAnsi="Times New Roman"/>
          <w:sz w:val="24"/>
        </w:rPr>
        <w:t>Psychology</w:t>
      </w:r>
      <w:proofErr w:type="spellEnd"/>
      <w:r>
        <w:rPr>
          <w:rFonts w:ascii="Times New Roman" w:hAnsi="Times New Roman"/>
          <w:sz w:val="24"/>
        </w:rPr>
        <w:t xml:space="preserve">”), Vol. 4, No.1 Enero, 2004, págs.145-148; publicado por </w:t>
      </w:r>
      <w:proofErr w:type="spellStart"/>
      <w:r>
        <w:rPr>
          <w:rFonts w:ascii="Times New Roman" w:hAnsi="Times New Roman"/>
          <w:sz w:val="24"/>
        </w:rPr>
        <w:t>Kongo</w:t>
      </w:r>
      <w:proofErr w:type="spellEnd"/>
      <w:r>
        <w:rPr>
          <w:rFonts w:ascii="Times New Roman" w:hAnsi="Times New Roman"/>
          <w:sz w:val="24"/>
        </w:rPr>
        <w:t xml:space="preserve"> </w:t>
      </w:r>
      <w:proofErr w:type="spellStart"/>
      <w:r>
        <w:rPr>
          <w:rFonts w:ascii="Times New Roman" w:hAnsi="Times New Roman"/>
          <w:sz w:val="24"/>
        </w:rPr>
        <w:t>Shuppan</w:t>
      </w:r>
      <w:proofErr w:type="spellEnd"/>
      <w:r>
        <w:rPr>
          <w:rFonts w:ascii="Times New Roman" w:hAnsi="Times New Roman"/>
          <w:sz w:val="24"/>
        </w:rPr>
        <w:t xml:space="preserve">, Tokio). El artículo se publicó por primera vez en la serie de ese Boletín. Fue publicado en japonés originalmente y traducido al inglés por </w:t>
      </w:r>
      <w:proofErr w:type="spellStart"/>
      <w:r>
        <w:rPr>
          <w:rFonts w:ascii="Times New Roman" w:hAnsi="Times New Roman"/>
          <w:sz w:val="24"/>
        </w:rPr>
        <w:t>Kazuko</w:t>
      </w:r>
      <w:proofErr w:type="spellEnd"/>
      <w:r>
        <w:rPr>
          <w:rFonts w:ascii="Times New Roman" w:hAnsi="Times New Roman"/>
          <w:sz w:val="24"/>
        </w:rPr>
        <w:t xml:space="preserve"> Sato. (Traducción del inglés al español de </w:t>
      </w:r>
      <w:proofErr w:type="spellStart"/>
      <w:r>
        <w:rPr>
          <w:rFonts w:ascii="Times New Roman" w:hAnsi="Times New Roman"/>
          <w:sz w:val="24"/>
        </w:rPr>
        <w:t>Mati</w:t>
      </w:r>
      <w:proofErr w:type="spellEnd"/>
      <w:r>
        <w:rPr>
          <w:rFonts w:ascii="Times New Roman" w:hAnsi="Times New Roman"/>
          <w:sz w:val="24"/>
        </w:rPr>
        <w:t xml:space="preserve"> Vargas-Gibson).</w:t>
      </w:r>
    </w:p>
    <w:p w:rsidR="00F65214" w:rsidRPr="00B12F56" w:rsidRDefault="00F65214" w:rsidP="00F65214">
      <w:pPr>
        <w:rPr>
          <w:rFonts w:ascii="Times New Roman" w:hAnsi="Times New Roman" w:cs="Times New Roman"/>
          <w:color w:val="0070C0"/>
          <w:sz w:val="24"/>
          <w:szCs w:val="24"/>
        </w:rPr>
      </w:pPr>
      <w:r w:rsidRPr="00B12F56">
        <w:rPr>
          <w:rFonts w:ascii="Times New Roman" w:hAnsi="Times New Roman"/>
          <w:color w:val="0070C0"/>
          <w:sz w:val="24"/>
        </w:rPr>
        <w:t>Descarga el artículo (40kb .</w:t>
      </w:r>
      <w:proofErr w:type="spellStart"/>
      <w:r w:rsidRPr="00B12F56">
        <w:rPr>
          <w:rFonts w:ascii="Times New Roman" w:hAnsi="Times New Roman"/>
          <w:color w:val="0070C0"/>
          <w:sz w:val="24"/>
        </w:rPr>
        <w:t>doc</w:t>
      </w:r>
      <w:proofErr w:type="spellEnd"/>
      <w:r w:rsidRPr="00B12F56">
        <w:rPr>
          <w:rFonts w:ascii="Times New Roman" w:hAnsi="Times New Roman"/>
          <w:color w:val="0070C0"/>
          <w:sz w:val="24"/>
        </w:rPr>
        <w:t xml:space="preserve"> </w:t>
      </w:r>
      <w:proofErr w:type="spellStart"/>
      <w:r w:rsidRPr="00B12F56">
        <w:rPr>
          <w:rFonts w:ascii="Times New Roman" w:hAnsi="Times New Roman"/>
          <w:color w:val="0070C0"/>
          <w:sz w:val="24"/>
        </w:rPr>
        <w:t>file</w:t>
      </w:r>
      <w:proofErr w:type="spellEnd"/>
      <w:r w:rsidRPr="00B12F56">
        <w:rPr>
          <w:rFonts w:ascii="Times New Roman" w:hAnsi="Times New Roman"/>
          <w:color w:val="0070C0"/>
          <w:sz w:val="24"/>
        </w:rPr>
        <w:t>)</w:t>
      </w:r>
    </w:p>
    <w:p w:rsidR="00B12F56" w:rsidRDefault="00F65214" w:rsidP="00F65214">
      <w:pPr>
        <w:rPr>
          <w:rFonts w:ascii="Times New Roman" w:hAnsi="Times New Roman"/>
          <w:sz w:val="24"/>
        </w:rPr>
      </w:pPr>
      <w:r w:rsidRPr="00B12F56">
        <w:rPr>
          <w:rFonts w:ascii="Times New Roman" w:hAnsi="Times New Roman"/>
          <w:sz w:val="24"/>
        </w:rPr>
        <w:t>721 Retroalimentación: Texto e imágenes para elucidar la retroalimentación, la supervisión y el proceso de aprendizaje, orientados a procesos</w:t>
      </w:r>
    </w:p>
    <w:p w:rsidR="00F65214" w:rsidRPr="00F65214" w:rsidRDefault="00F65214" w:rsidP="00F65214">
      <w:pPr>
        <w:rPr>
          <w:rFonts w:ascii="Times New Roman" w:hAnsi="Times New Roman" w:cs="Times New Roman"/>
          <w:sz w:val="24"/>
          <w:szCs w:val="24"/>
        </w:rPr>
      </w:pPr>
      <w:r>
        <w:rPr>
          <w:rFonts w:ascii="Times New Roman" w:hAnsi="Times New Roman"/>
          <w:sz w:val="24"/>
        </w:rPr>
        <w:t xml:space="preserve">por </w:t>
      </w:r>
      <w:proofErr w:type="spellStart"/>
      <w:r>
        <w:rPr>
          <w:rFonts w:ascii="Times New Roman" w:hAnsi="Times New Roman"/>
          <w:sz w:val="24"/>
        </w:rPr>
        <w:t>Amy</w:t>
      </w:r>
      <w:proofErr w:type="spellEnd"/>
      <w:r>
        <w:rPr>
          <w:rFonts w:ascii="Times New Roman" w:hAnsi="Times New Roman"/>
          <w:sz w:val="24"/>
        </w:rPr>
        <w:t xml:space="preserve"> Mindell</w:t>
      </w:r>
      <w:r>
        <w:rPr>
          <w:rFonts w:ascii="Times New Roman" w:hAnsi="Times New Roman" w:cs="Times New Roman"/>
          <w:sz w:val="24"/>
          <w:szCs w:val="24"/>
        </w:rPr>
        <w:br/>
      </w:r>
      <w:r>
        <w:rPr>
          <w:rFonts w:ascii="Times New Roman" w:hAnsi="Times New Roman"/>
          <w:sz w:val="24"/>
        </w:rPr>
        <w:t>Noviembre 2005</w:t>
      </w:r>
    </w:p>
    <w:p w:rsidR="00F65214" w:rsidRPr="00F65214" w:rsidRDefault="00F65214" w:rsidP="00F65214">
      <w:pPr>
        <w:rPr>
          <w:rFonts w:ascii="Times New Roman" w:hAnsi="Times New Roman" w:cs="Times New Roman"/>
          <w:sz w:val="24"/>
          <w:szCs w:val="24"/>
        </w:rPr>
      </w:pPr>
      <w:r>
        <w:rPr>
          <w:rFonts w:ascii="Times New Roman" w:hAnsi="Times New Roman"/>
          <w:sz w:val="24"/>
        </w:rPr>
        <w:t>Todos estamos, o estaremos en algún momento, en la posición de dar retroalimentación a los demás, ya sea como maestros, jefes o padres o, sencillamente, como amigos que se aconsejan mutuamente. Con los años me he convertido en maestra y supervisora de otros terapeutas y de terapeutas en capacitación, y encuentro que, a mi parecer, la tarea de dar retroalimentación me causa sensaciones iguales de emoción y aprendizaje y de temor y desafío. Siempre hay más que aprender acerca de cómo enseñar y ofrecer retroalimentación en formas útiles.</w:t>
      </w:r>
    </w:p>
    <w:p w:rsidR="00F65214" w:rsidRPr="00F65214" w:rsidRDefault="00F65214" w:rsidP="00F65214">
      <w:pPr>
        <w:rPr>
          <w:rFonts w:ascii="Times New Roman" w:hAnsi="Times New Roman" w:cs="Times New Roman"/>
          <w:sz w:val="24"/>
          <w:szCs w:val="24"/>
        </w:rPr>
      </w:pPr>
      <w:r>
        <w:rPr>
          <w:rFonts w:ascii="Times New Roman" w:hAnsi="Times New Roman"/>
          <w:sz w:val="24"/>
        </w:rPr>
        <w:t xml:space="preserve">La supervisión puede ser un proceso maravilloso de aprendizaje para todos quienes participan en ella. Al mismo tiempo, reconozco intensamente que no importa cuánta sea la bondad del </w:t>
      </w:r>
      <w:proofErr w:type="spellStart"/>
      <w:r>
        <w:rPr>
          <w:rFonts w:ascii="Times New Roman" w:hAnsi="Times New Roman"/>
          <w:sz w:val="24"/>
        </w:rPr>
        <w:t>supervisior</w:t>
      </w:r>
      <w:proofErr w:type="spellEnd"/>
      <w:r>
        <w:rPr>
          <w:rFonts w:ascii="Times New Roman" w:hAnsi="Times New Roman"/>
          <w:sz w:val="24"/>
        </w:rPr>
        <w:t xml:space="preserve">, o qué tan abierta y capaz sea la persona supervisada; la atmósfera que rodea la </w:t>
      </w:r>
      <w:r>
        <w:rPr>
          <w:rFonts w:ascii="Times New Roman" w:hAnsi="Times New Roman"/>
          <w:sz w:val="24"/>
        </w:rPr>
        <w:lastRenderedPageBreak/>
        <w:t>situación de retroalimentación casi siempre contiene varios espíritus de trasfondo, algunos provenientes de experiencias educativas pasadas (maravillosas o difíciles), o bien, de situaciones parentales tempranas, temas de abuso, etc. Al mismo tiempo, lo que ocurre se verá afectado en forma importante por los roles que ocupen la naturaleza del alumno o la persona supervisada, la supervisora  o maestra en particular, el temple del momento, el "desempeño" que se esté revisando, el momento preciso y los sentimientos de todos los participantes. La persona que ocupa la posición de recibir  retroalimentación puede sentirse relajada y emocionada, o quizás tensa, acerca de lo que se podría comentar. Al mismo tiempo, el(la) supervisor(a) puede presentarse totalmente empeñado(a) e interesado(a), o nervioso(a) acerca de qué decir, cómo decirlo y cómo estar consciente de las diferencias de rango que tiene con la persona supervisada.</w:t>
      </w:r>
    </w:p>
    <w:p w:rsidR="00F65214" w:rsidRPr="00B12F56" w:rsidRDefault="00F65214" w:rsidP="00F65214">
      <w:pPr>
        <w:rPr>
          <w:rFonts w:ascii="Times New Roman" w:hAnsi="Times New Roman" w:cs="Times New Roman"/>
          <w:color w:val="0070C0"/>
          <w:sz w:val="24"/>
          <w:szCs w:val="24"/>
        </w:rPr>
      </w:pPr>
      <w:r w:rsidRPr="00B12F56">
        <w:rPr>
          <w:rFonts w:ascii="Times New Roman" w:hAnsi="Times New Roman"/>
          <w:color w:val="0070C0"/>
          <w:sz w:val="24"/>
        </w:rPr>
        <w:t>Descarga el archivo de Word (Archivo de Word de 4 MB)</w:t>
      </w:r>
    </w:p>
    <w:p w:rsidR="00F65214" w:rsidRPr="00B12F56" w:rsidRDefault="00F65214" w:rsidP="00F65214">
      <w:pPr>
        <w:rPr>
          <w:rFonts w:ascii="Times New Roman" w:hAnsi="Times New Roman" w:cs="Times New Roman"/>
          <w:color w:val="0070C0"/>
          <w:sz w:val="24"/>
          <w:szCs w:val="24"/>
        </w:rPr>
      </w:pPr>
      <w:r w:rsidRPr="00B12F56">
        <w:rPr>
          <w:rFonts w:ascii="Times New Roman" w:hAnsi="Times New Roman"/>
          <w:color w:val="0070C0"/>
          <w:sz w:val="24"/>
        </w:rPr>
        <w:t xml:space="preserve">Notar las señales dobles </w:t>
      </w:r>
    </w:p>
    <w:p w:rsidR="00F65214" w:rsidRDefault="00F65214" w:rsidP="00F65214">
      <w:pPr>
        <w:rPr>
          <w:rFonts w:ascii="Times New Roman" w:hAnsi="Times New Roman"/>
          <w:sz w:val="24"/>
          <w:lang w:val="en-US"/>
        </w:rPr>
      </w:pPr>
      <w:r>
        <w:rPr>
          <w:rFonts w:ascii="Times New Roman" w:hAnsi="Times New Roman"/>
          <w:sz w:val="24"/>
        </w:rPr>
        <w:t xml:space="preserve">Sospechamos que Bart Simpson tomó un curso de </w:t>
      </w:r>
      <w:proofErr w:type="spellStart"/>
      <w:r>
        <w:rPr>
          <w:rFonts w:ascii="Times New Roman" w:hAnsi="Times New Roman"/>
          <w:sz w:val="24"/>
        </w:rPr>
        <w:t>Process</w:t>
      </w:r>
      <w:proofErr w:type="spellEnd"/>
      <w:r>
        <w:rPr>
          <w:rFonts w:ascii="Times New Roman" w:hAnsi="Times New Roman"/>
          <w:sz w:val="24"/>
        </w:rPr>
        <w:t xml:space="preserve"> </w:t>
      </w:r>
      <w:proofErr w:type="spellStart"/>
      <w:r>
        <w:rPr>
          <w:rFonts w:ascii="Times New Roman" w:hAnsi="Times New Roman"/>
          <w:sz w:val="24"/>
        </w:rPr>
        <w:t>Work</w:t>
      </w:r>
      <w:proofErr w:type="spellEnd"/>
      <w:r>
        <w:rPr>
          <w:rFonts w:ascii="Times New Roman" w:hAnsi="Times New Roman"/>
          <w:sz w:val="24"/>
        </w:rPr>
        <w:t xml:space="preserve"> en algún lugar, ¡ya que es obvio que tiene conocimientos avanzados sobre las señales dobles! Observa la imagen de su maestra (¡Conoce al enemigo!). Su primer proceso es ser buena maestra, pero el proceso secundario contiene mucha más información con la cual no se identifica en gran medida. </w:t>
      </w:r>
      <w:r w:rsidRPr="00125D6C">
        <w:rPr>
          <w:rFonts w:ascii="Times New Roman" w:hAnsi="Times New Roman"/>
          <w:sz w:val="24"/>
          <w:lang w:val="en-US"/>
        </w:rPr>
        <w:t xml:space="preserve">Buena </w:t>
      </w:r>
      <w:proofErr w:type="spellStart"/>
      <w:r w:rsidRPr="00125D6C">
        <w:rPr>
          <w:rFonts w:ascii="Times New Roman" w:hAnsi="Times New Roman"/>
          <w:sz w:val="24"/>
          <w:lang w:val="en-US"/>
        </w:rPr>
        <w:t>suerte</w:t>
      </w:r>
      <w:proofErr w:type="spellEnd"/>
      <w:r w:rsidRPr="00125D6C">
        <w:rPr>
          <w:rFonts w:ascii="Times New Roman" w:hAnsi="Times New Roman"/>
          <w:sz w:val="24"/>
          <w:lang w:val="en-US"/>
        </w:rPr>
        <w:t>, Bart. (</w:t>
      </w:r>
      <w:proofErr w:type="spellStart"/>
      <w:r w:rsidRPr="00125D6C">
        <w:rPr>
          <w:rFonts w:ascii="Times New Roman" w:hAnsi="Times New Roman"/>
          <w:sz w:val="24"/>
          <w:lang w:val="en-US"/>
        </w:rPr>
        <w:t>Ver</w:t>
      </w:r>
      <w:proofErr w:type="spellEnd"/>
      <w:r w:rsidRPr="00125D6C">
        <w:rPr>
          <w:rFonts w:ascii="Times New Roman" w:hAnsi="Times New Roman"/>
          <w:sz w:val="24"/>
          <w:lang w:val="en-US"/>
        </w:rPr>
        <w:t xml:space="preserve"> </w:t>
      </w:r>
      <w:r w:rsidRPr="00125D6C">
        <w:rPr>
          <w:rFonts w:ascii="Times New Roman" w:hAnsi="Times New Roman"/>
          <w:i/>
          <w:sz w:val="24"/>
          <w:lang w:val="en-US"/>
        </w:rPr>
        <w:t>The Bart Book</w:t>
      </w:r>
      <w:r w:rsidRPr="00125D6C">
        <w:rPr>
          <w:rFonts w:ascii="Times New Roman" w:hAnsi="Times New Roman"/>
          <w:sz w:val="24"/>
          <w:lang w:val="en-US"/>
        </w:rPr>
        <w:t xml:space="preserve">, Harper Collins, New York, 2004, ca. </w:t>
      </w:r>
      <w:proofErr w:type="spellStart"/>
      <w:r w:rsidRPr="00125D6C">
        <w:rPr>
          <w:rFonts w:ascii="Times New Roman" w:hAnsi="Times New Roman"/>
          <w:sz w:val="24"/>
          <w:lang w:val="en-US"/>
        </w:rPr>
        <w:t>pág</w:t>
      </w:r>
      <w:proofErr w:type="spellEnd"/>
      <w:r w:rsidRPr="00125D6C">
        <w:rPr>
          <w:rFonts w:ascii="Times New Roman" w:hAnsi="Times New Roman"/>
          <w:sz w:val="24"/>
          <w:lang w:val="en-US"/>
        </w:rPr>
        <w:t>. 14.)</w:t>
      </w:r>
    </w:p>
    <w:p w:rsidR="00B12F56" w:rsidRDefault="00B12F56" w:rsidP="00B12F56">
      <w:pPr>
        <w:jc w:val="center"/>
      </w:pPr>
      <w:r>
        <w:rPr>
          <w:noProof/>
          <w:lang w:val="en-US" w:eastAsia="en-US" w:bidi="ar-SA"/>
        </w:rPr>
        <w:drawing>
          <wp:inline distT="0" distB="0" distL="0" distR="0">
            <wp:extent cx="1494846" cy="2217808"/>
            <wp:effectExtent l="0" t="0" r="0" b="0"/>
            <wp:docPr id="1" name="Picture 1" descr="C:\Users\Mati\Documents\MINDELL TRANSLATION\bartsimpson.jpg.pagespeed.ce.J63-pwh_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Documents\MINDELL TRANSLATION\bartsimpson.jpg.pagespeed.ce.J63-pwh_f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94910" cy="2217903"/>
                    </a:xfrm>
                    <a:prstGeom prst="rect">
                      <a:avLst/>
                    </a:prstGeom>
                    <a:noFill/>
                    <a:ln>
                      <a:noFill/>
                    </a:ln>
                  </pic:spPr>
                </pic:pic>
              </a:graphicData>
            </a:graphic>
          </wp:inline>
        </w:drawing>
      </w:r>
    </w:p>
    <w:p w:rsidR="00B12F56" w:rsidRDefault="00B12F56" w:rsidP="00B12F56">
      <w:pPr>
        <w:spacing w:after="20"/>
        <w:jc w:val="center"/>
        <w:rPr>
          <w:b/>
          <w:sz w:val="28"/>
          <w:szCs w:val="28"/>
          <w:lang w:val="es-ES"/>
        </w:rPr>
      </w:pPr>
      <w:r>
        <w:rPr>
          <w:b/>
          <w:sz w:val="28"/>
          <w:szCs w:val="28"/>
          <w:lang w:val="es-ES"/>
        </w:rPr>
        <w:t>CONOCE AL ENEMIGO</w:t>
      </w:r>
    </w:p>
    <w:p w:rsidR="00B12F56" w:rsidRPr="00B12F56" w:rsidRDefault="00B12F56" w:rsidP="00B12F56">
      <w:pPr>
        <w:spacing w:after="20"/>
        <w:jc w:val="center"/>
        <w:rPr>
          <w:b/>
          <w:sz w:val="28"/>
          <w:szCs w:val="28"/>
          <w:lang w:val="es-ES"/>
        </w:rPr>
      </w:pPr>
      <w:r>
        <w:rPr>
          <w:b/>
          <w:sz w:val="28"/>
          <w:szCs w:val="28"/>
          <w:lang w:val="es-ES"/>
        </w:rPr>
        <w:t>La bomba a punto de estallar en el salón</w:t>
      </w:r>
    </w:p>
    <w:tbl>
      <w:tblPr>
        <w:tblStyle w:val="TableGrid"/>
        <w:tblW w:w="0" w:type="auto"/>
        <w:tblLook w:val="04A0"/>
      </w:tblPr>
      <w:tblGrid>
        <w:gridCol w:w="4788"/>
        <w:gridCol w:w="4788"/>
      </w:tblGrid>
      <w:tr w:rsidR="00B12F56" w:rsidTr="00261580">
        <w:tc>
          <w:tcPr>
            <w:tcW w:w="4788" w:type="dxa"/>
          </w:tcPr>
          <w:p w:rsidR="00B12F56" w:rsidRDefault="00B12F56" w:rsidP="00261580">
            <w:pPr>
              <w:rPr>
                <w:lang w:val="es-ES"/>
              </w:rPr>
            </w:pPr>
            <w:r>
              <w:rPr>
                <w:lang w:val="es-ES"/>
              </w:rPr>
              <w:t>Mirada amenazante</w:t>
            </w:r>
          </w:p>
        </w:tc>
        <w:tc>
          <w:tcPr>
            <w:tcW w:w="4788" w:type="dxa"/>
          </w:tcPr>
          <w:p w:rsidR="00B12F56" w:rsidRDefault="00B12F56" w:rsidP="00261580">
            <w:pPr>
              <w:rPr>
                <w:lang w:val="es-ES"/>
              </w:rPr>
            </w:pPr>
            <w:r>
              <w:rPr>
                <w:lang w:val="es-ES"/>
              </w:rPr>
              <w:t>Jaqueca intensa</w:t>
            </w:r>
          </w:p>
        </w:tc>
      </w:tr>
      <w:tr w:rsidR="00B12F56" w:rsidTr="00261580">
        <w:tc>
          <w:tcPr>
            <w:tcW w:w="4788" w:type="dxa"/>
          </w:tcPr>
          <w:p w:rsidR="00B12F56" w:rsidRDefault="00B12F56" w:rsidP="00261580">
            <w:pPr>
              <w:rPr>
                <w:lang w:val="es-ES"/>
              </w:rPr>
            </w:pPr>
            <w:r>
              <w:rPr>
                <w:lang w:val="es-ES"/>
              </w:rPr>
              <w:t>Tic nervioso</w:t>
            </w:r>
          </w:p>
        </w:tc>
        <w:tc>
          <w:tcPr>
            <w:tcW w:w="4788" w:type="dxa"/>
          </w:tcPr>
          <w:p w:rsidR="00B12F56" w:rsidRDefault="00B12F56" w:rsidP="00261580">
            <w:pPr>
              <w:rPr>
                <w:lang w:val="es-ES"/>
              </w:rPr>
            </w:pPr>
            <w:r>
              <w:rPr>
                <w:lang w:val="es-ES"/>
              </w:rPr>
              <w:t>Pensar en lo que habría sido</w:t>
            </w:r>
          </w:p>
        </w:tc>
      </w:tr>
      <w:tr w:rsidR="00B12F56" w:rsidTr="00261580">
        <w:tc>
          <w:tcPr>
            <w:tcW w:w="4788" w:type="dxa"/>
          </w:tcPr>
          <w:p w:rsidR="00B12F56" w:rsidRDefault="00B12F56" w:rsidP="00261580">
            <w:pPr>
              <w:rPr>
                <w:lang w:val="es-ES"/>
              </w:rPr>
            </w:pPr>
            <w:r>
              <w:rPr>
                <w:lang w:val="es-ES"/>
              </w:rPr>
              <w:t>Gruñidos extraños</w:t>
            </w:r>
          </w:p>
        </w:tc>
        <w:tc>
          <w:tcPr>
            <w:tcW w:w="4788" w:type="dxa"/>
          </w:tcPr>
          <w:p w:rsidR="00B12F56" w:rsidRDefault="00B12F56" w:rsidP="00261580">
            <w:pPr>
              <w:rPr>
                <w:lang w:val="es-ES"/>
              </w:rPr>
            </w:pPr>
            <w:r>
              <w:rPr>
                <w:lang w:val="es-ES"/>
              </w:rPr>
              <w:t>Dolor en los hombros</w:t>
            </w:r>
          </w:p>
        </w:tc>
      </w:tr>
      <w:tr w:rsidR="00B12F56" w:rsidTr="00261580">
        <w:tc>
          <w:tcPr>
            <w:tcW w:w="4788" w:type="dxa"/>
          </w:tcPr>
          <w:p w:rsidR="00B12F56" w:rsidRDefault="00B12F56" w:rsidP="00261580">
            <w:pPr>
              <w:rPr>
                <w:lang w:val="es-ES"/>
              </w:rPr>
            </w:pPr>
            <w:r>
              <w:rPr>
                <w:lang w:val="es-ES"/>
              </w:rPr>
              <w:t>Corazón frío, helado</w:t>
            </w:r>
          </w:p>
        </w:tc>
        <w:tc>
          <w:tcPr>
            <w:tcW w:w="4788" w:type="dxa"/>
          </w:tcPr>
          <w:p w:rsidR="00B12F56" w:rsidRDefault="00B12F56" w:rsidP="00261580">
            <w:pPr>
              <w:rPr>
                <w:lang w:val="es-ES"/>
              </w:rPr>
            </w:pPr>
            <w:r>
              <w:rPr>
                <w:lang w:val="es-ES"/>
              </w:rPr>
              <w:t>Dolor en la espalda</w:t>
            </w:r>
          </w:p>
        </w:tc>
      </w:tr>
      <w:tr w:rsidR="00B12F56" w:rsidTr="00261580">
        <w:tc>
          <w:tcPr>
            <w:tcW w:w="4788" w:type="dxa"/>
          </w:tcPr>
          <w:p w:rsidR="00B12F56" w:rsidRDefault="00B12F56" w:rsidP="00261580">
            <w:pPr>
              <w:rPr>
                <w:lang w:val="es-ES"/>
              </w:rPr>
            </w:pPr>
            <w:r>
              <w:rPr>
                <w:lang w:val="es-ES"/>
              </w:rPr>
              <w:t>Malestar estomacal</w:t>
            </w:r>
          </w:p>
        </w:tc>
        <w:tc>
          <w:tcPr>
            <w:tcW w:w="4788" w:type="dxa"/>
          </w:tcPr>
          <w:p w:rsidR="00B12F56" w:rsidRDefault="00B12F56" w:rsidP="00261580">
            <w:pPr>
              <w:rPr>
                <w:lang w:val="es-ES"/>
              </w:rPr>
            </w:pPr>
            <w:r>
              <w:rPr>
                <w:lang w:val="es-ES"/>
              </w:rPr>
              <w:t>Tarea para perder el tiempo</w:t>
            </w:r>
          </w:p>
        </w:tc>
      </w:tr>
      <w:tr w:rsidR="00B12F56" w:rsidTr="00261580">
        <w:tc>
          <w:tcPr>
            <w:tcW w:w="4788" w:type="dxa"/>
          </w:tcPr>
          <w:p w:rsidR="00B12F56" w:rsidRDefault="00B12F56" w:rsidP="00261580">
            <w:pPr>
              <w:rPr>
                <w:lang w:val="es-ES"/>
              </w:rPr>
            </w:pPr>
            <w:r>
              <w:rPr>
                <w:lang w:val="es-ES"/>
              </w:rPr>
              <w:t>Objeto punzante, ¡cuidado!</w:t>
            </w:r>
          </w:p>
        </w:tc>
        <w:tc>
          <w:tcPr>
            <w:tcW w:w="4788" w:type="dxa"/>
          </w:tcPr>
          <w:p w:rsidR="00B12F56" w:rsidRDefault="00B12F56" w:rsidP="00261580">
            <w:pPr>
              <w:rPr>
                <w:lang w:val="es-ES"/>
              </w:rPr>
            </w:pPr>
            <w:r>
              <w:rPr>
                <w:lang w:val="es-ES"/>
              </w:rPr>
              <w:t>Nudillos tensos</w:t>
            </w:r>
          </w:p>
        </w:tc>
      </w:tr>
      <w:tr w:rsidR="00B12F56" w:rsidTr="00B12F56">
        <w:trPr>
          <w:trHeight w:val="260"/>
        </w:trPr>
        <w:tc>
          <w:tcPr>
            <w:tcW w:w="4788" w:type="dxa"/>
          </w:tcPr>
          <w:p w:rsidR="00B12F56" w:rsidRDefault="00B12F56" w:rsidP="00261580">
            <w:pPr>
              <w:rPr>
                <w:lang w:val="es-ES"/>
              </w:rPr>
            </w:pPr>
            <w:r>
              <w:rPr>
                <w:lang w:val="es-ES"/>
              </w:rPr>
              <w:t>Pies adoloridos</w:t>
            </w:r>
          </w:p>
        </w:tc>
        <w:tc>
          <w:tcPr>
            <w:tcW w:w="4788" w:type="dxa"/>
          </w:tcPr>
          <w:p w:rsidR="00B12F56" w:rsidRDefault="00B12F56" w:rsidP="00261580">
            <w:pPr>
              <w:rPr>
                <w:lang w:val="es-ES"/>
              </w:rPr>
            </w:pPr>
          </w:p>
        </w:tc>
      </w:tr>
    </w:tbl>
    <w:p w:rsidR="004A02F1" w:rsidRPr="00125D6C" w:rsidRDefault="004A02F1" w:rsidP="00DA441F">
      <w:pPr>
        <w:rPr>
          <w:rFonts w:ascii="Times New Roman" w:hAnsi="Times New Roman" w:cs="Times New Roman"/>
          <w:sz w:val="24"/>
          <w:szCs w:val="24"/>
          <w:lang w:val="en-US"/>
        </w:rPr>
      </w:pPr>
    </w:p>
    <w:sectPr w:rsidR="004A02F1" w:rsidRPr="00125D6C" w:rsidSect="00C87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697F"/>
    <w:multiLevelType w:val="multilevel"/>
    <w:tmpl w:val="DE5C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57FFA"/>
    <w:multiLevelType w:val="hybridMultilevel"/>
    <w:tmpl w:val="8BAA9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65214"/>
    <w:rsid w:val="00125D6C"/>
    <w:rsid w:val="004A02F1"/>
    <w:rsid w:val="005C48A2"/>
    <w:rsid w:val="00B12F56"/>
    <w:rsid w:val="00B36C7C"/>
    <w:rsid w:val="00C8781C"/>
    <w:rsid w:val="00DA441F"/>
    <w:rsid w:val="00F65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1C"/>
  </w:style>
  <w:style w:type="paragraph" w:styleId="Heading1">
    <w:name w:val="heading 1"/>
    <w:basedOn w:val="Normal"/>
    <w:link w:val="Heading1Char"/>
    <w:uiPriority w:val="9"/>
    <w:qFormat/>
    <w:rsid w:val="00F65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52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21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65214"/>
    <w:rPr>
      <w:color w:val="0000FF"/>
      <w:u w:val="single"/>
    </w:rPr>
  </w:style>
  <w:style w:type="paragraph" w:styleId="NormalWeb">
    <w:name w:val="Normal (Web)"/>
    <w:basedOn w:val="Normal"/>
    <w:uiPriority w:val="99"/>
    <w:semiHidden/>
    <w:unhideWhenUsed/>
    <w:rsid w:val="00F652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214"/>
    <w:rPr>
      <w:b/>
      <w:bCs/>
    </w:rPr>
  </w:style>
  <w:style w:type="character" w:styleId="Emphasis">
    <w:name w:val="Emphasis"/>
    <w:basedOn w:val="DefaultParagraphFont"/>
    <w:uiPriority w:val="20"/>
    <w:qFormat/>
    <w:rsid w:val="00F65214"/>
    <w:rPr>
      <w:i/>
      <w:iCs/>
    </w:rPr>
  </w:style>
  <w:style w:type="paragraph" w:customStyle="1" w:styleId="smalltext">
    <w:name w:val="smalltext"/>
    <w:basedOn w:val="Normal"/>
    <w:rsid w:val="00F65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basedOn w:val="Normal"/>
    <w:rsid w:val="00F65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14"/>
    <w:rPr>
      <w:rFonts w:ascii="Tahoma" w:hAnsi="Tahoma" w:cs="Tahoma"/>
      <w:sz w:val="16"/>
      <w:szCs w:val="16"/>
    </w:rPr>
  </w:style>
  <w:style w:type="paragraph" w:styleId="ListParagraph">
    <w:name w:val="List Paragraph"/>
    <w:basedOn w:val="Normal"/>
    <w:uiPriority w:val="34"/>
    <w:qFormat/>
    <w:rsid w:val="00B12F56"/>
    <w:pPr>
      <w:ind w:left="720"/>
      <w:contextualSpacing/>
    </w:pPr>
  </w:style>
  <w:style w:type="table" w:styleId="TableGrid">
    <w:name w:val="Table Grid"/>
    <w:basedOn w:val="TableNormal"/>
    <w:uiPriority w:val="59"/>
    <w:rsid w:val="00B12F56"/>
    <w:pPr>
      <w:spacing w:after="0" w:line="240" w:lineRule="auto"/>
    </w:pPr>
    <w:rPr>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s-MX" w:bidi="es-MX"/>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52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521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65214"/>
    <w:rPr>
      <w:color w:val="0000FF"/>
      <w:u w:val="single"/>
    </w:rPr>
  </w:style>
  <w:style w:type="paragraph" w:styleId="NormalWeb">
    <w:name w:val="Normal (Web)"/>
    <w:basedOn w:val="Normal"/>
    <w:uiPriority w:val="99"/>
    <w:semiHidden/>
    <w:unhideWhenUsed/>
    <w:rsid w:val="00F652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214"/>
    <w:rPr>
      <w:b/>
      <w:bCs/>
    </w:rPr>
  </w:style>
  <w:style w:type="character" w:styleId="Emphasis">
    <w:name w:val="Emphasis"/>
    <w:basedOn w:val="DefaultParagraphFont"/>
    <w:uiPriority w:val="20"/>
    <w:qFormat/>
    <w:rsid w:val="00F65214"/>
    <w:rPr>
      <w:i/>
      <w:iCs/>
    </w:rPr>
  </w:style>
  <w:style w:type="paragraph" w:customStyle="1" w:styleId="smalltext">
    <w:name w:val="smalltext"/>
    <w:basedOn w:val="Normal"/>
    <w:rsid w:val="00F65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
    <w:name w:val="just"/>
    <w:basedOn w:val="Normal"/>
    <w:rsid w:val="00F652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214"/>
    <w:rPr>
      <w:rFonts w:ascii="Tahoma" w:hAnsi="Tahoma" w:cs="Tahoma"/>
      <w:sz w:val="16"/>
      <w:szCs w:val="16"/>
    </w:rPr>
  </w:style>
  <w:style w:type="paragraph" w:styleId="ListParagraph">
    <w:name w:val="List Paragraph"/>
    <w:basedOn w:val="Normal"/>
    <w:uiPriority w:val="34"/>
    <w:qFormat/>
    <w:rsid w:val="00B12F56"/>
    <w:pPr>
      <w:ind w:left="720"/>
      <w:contextualSpacing/>
    </w:pPr>
  </w:style>
  <w:style w:type="table" w:styleId="TableGrid">
    <w:name w:val="Table Grid"/>
    <w:basedOn w:val="TableNormal"/>
    <w:uiPriority w:val="59"/>
    <w:rsid w:val="00B12F56"/>
    <w:pPr>
      <w:spacing w:after="0" w:line="240" w:lineRule="auto"/>
    </w:pPr>
    <w:rPr>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57695">
      <w:bodyDiv w:val="1"/>
      <w:marLeft w:val="0"/>
      <w:marRight w:val="0"/>
      <w:marTop w:val="0"/>
      <w:marBottom w:val="0"/>
      <w:divBdr>
        <w:top w:val="none" w:sz="0" w:space="0" w:color="auto"/>
        <w:left w:val="none" w:sz="0" w:space="0" w:color="auto"/>
        <w:bottom w:val="none" w:sz="0" w:space="0" w:color="auto"/>
        <w:right w:val="none" w:sz="0" w:space="0" w:color="auto"/>
      </w:divBdr>
      <w:divsChild>
        <w:div w:id="1675456064">
          <w:marLeft w:val="0"/>
          <w:marRight w:val="0"/>
          <w:marTop w:val="0"/>
          <w:marBottom w:val="0"/>
          <w:divBdr>
            <w:top w:val="none" w:sz="0" w:space="0" w:color="auto"/>
            <w:left w:val="none" w:sz="0" w:space="0" w:color="auto"/>
            <w:bottom w:val="none" w:sz="0" w:space="0" w:color="auto"/>
            <w:right w:val="none" w:sz="0" w:space="0" w:color="auto"/>
          </w:divBdr>
          <w:divsChild>
            <w:div w:id="1631672562">
              <w:marLeft w:val="0"/>
              <w:marRight w:val="0"/>
              <w:marTop w:val="0"/>
              <w:marBottom w:val="0"/>
              <w:divBdr>
                <w:top w:val="none" w:sz="0" w:space="0" w:color="auto"/>
                <w:left w:val="none" w:sz="0" w:space="0" w:color="auto"/>
                <w:bottom w:val="none" w:sz="0" w:space="0" w:color="auto"/>
                <w:right w:val="none" w:sz="0" w:space="0" w:color="auto"/>
              </w:divBdr>
              <w:divsChild>
                <w:div w:id="978149814">
                  <w:marLeft w:val="0"/>
                  <w:marRight w:val="0"/>
                  <w:marTop w:val="0"/>
                  <w:marBottom w:val="0"/>
                  <w:divBdr>
                    <w:top w:val="none" w:sz="0" w:space="0" w:color="auto"/>
                    <w:left w:val="none" w:sz="0" w:space="0" w:color="auto"/>
                    <w:bottom w:val="none" w:sz="0" w:space="0" w:color="auto"/>
                    <w:right w:val="none" w:sz="0" w:space="0" w:color="auto"/>
                  </w:divBdr>
                </w:div>
                <w:div w:id="19017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20825">
          <w:marLeft w:val="0"/>
          <w:marRight w:val="0"/>
          <w:marTop w:val="0"/>
          <w:marBottom w:val="0"/>
          <w:divBdr>
            <w:top w:val="none" w:sz="0" w:space="0" w:color="auto"/>
            <w:left w:val="none" w:sz="0" w:space="0" w:color="auto"/>
            <w:bottom w:val="none" w:sz="0" w:space="0" w:color="auto"/>
            <w:right w:val="none" w:sz="0" w:space="0" w:color="auto"/>
          </w:divBdr>
          <w:divsChild>
            <w:div w:id="259988764">
              <w:marLeft w:val="0"/>
              <w:marRight w:val="0"/>
              <w:marTop w:val="0"/>
              <w:marBottom w:val="0"/>
              <w:divBdr>
                <w:top w:val="none" w:sz="0" w:space="0" w:color="auto"/>
                <w:left w:val="none" w:sz="0" w:space="0" w:color="auto"/>
                <w:bottom w:val="none" w:sz="0" w:space="0" w:color="auto"/>
                <w:right w:val="none" w:sz="0" w:space="0" w:color="auto"/>
              </w:divBdr>
              <w:divsChild>
                <w:div w:id="1217160371">
                  <w:marLeft w:val="0"/>
                  <w:marRight w:val="0"/>
                  <w:marTop w:val="0"/>
                  <w:marBottom w:val="0"/>
                  <w:divBdr>
                    <w:top w:val="none" w:sz="0" w:space="0" w:color="auto"/>
                    <w:left w:val="none" w:sz="0" w:space="0" w:color="auto"/>
                    <w:bottom w:val="none" w:sz="0" w:space="0" w:color="auto"/>
                    <w:right w:val="none" w:sz="0" w:space="0" w:color="auto"/>
                  </w:divBdr>
                </w:div>
                <w:div w:id="16083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730">
          <w:marLeft w:val="0"/>
          <w:marRight w:val="0"/>
          <w:marTop w:val="0"/>
          <w:marBottom w:val="0"/>
          <w:divBdr>
            <w:top w:val="none" w:sz="0" w:space="0" w:color="auto"/>
            <w:left w:val="none" w:sz="0" w:space="0" w:color="auto"/>
            <w:bottom w:val="none" w:sz="0" w:space="0" w:color="auto"/>
            <w:right w:val="none" w:sz="0" w:space="0" w:color="auto"/>
          </w:divBdr>
          <w:divsChild>
            <w:div w:id="1638876663">
              <w:marLeft w:val="0"/>
              <w:marRight w:val="0"/>
              <w:marTop w:val="0"/>
              <w:marBottom w:val="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
                <w:div w:id="334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4497">
          <w:marLeft w:val="0"/>
          <w:marRight w:val="0"/>
          <w:marTop w:val="0"/>
          <w:marBottom w:val="0"/>
          <w:divBdr>
            <w:top w:val="none" w:sz="0" w:space="0" w:color="auto"/>
            <w:left w:val="none" w:sz="0" w:space="0" w:color="auto"/>
            <w:bottom w:val="none" w:sz="0" w:space="0" w:color="auto"/>
            <w:right w:val="none" w:sz="0" w:space="0" w:color="auto"/>
          </w:divBdr>
          <w:divsChild>
            <w:div w:id="1819111600">
              <w:marLeft w:val="0"/>
              <w:marRight w:val="0"/>
              <w:marTop w:val="0"/>
              <w:marBottom w:val="0"/>
              <w:divBdr>
                <w:top w:val="none" w:sz="0" w:space="0" w:color="auto"/>
                <w:left w:val="none" w:sz="0" w:space="0" w:color="auto"/>
                <w:bottom w:val="none" w:sz="0" w:space="0" w:color="auto"/>
                <w:right w:val="none" w:sz="0" w:space="0" w:color="auto"/>
              </w:divBdr>
              <w:divsChild>
                <w:div w:id="1769543579">
                  <w:marLeft w:val="0"/>
                  <w:marRight w:val="0"/>
                  <w:marTop w:val="0"/>
                  <w:marBottom w:val="0"/>
                  <w:divBdr>
                    <w:top w:val="none" w:sz="0" w:space="0" w:color="auto"/>
                    <w:left w:val="none" w:sz="0" w:space="0" w:color="auto"/>
                    <w:bottom w:val="none" w:sz="0" w:space="0" w:color="auto"/>
                    <w:right w:val="none" w:sz="0" w:space="0" w:color="auto"/>
                  </w:divBdr>
                </w:div>
                <w:div w:id="1137184088">
                  <w:marLeft w:val="0"/>
                  <w:marRight w:val="0"/>
                  <w:marTop w:val="0"/>
                  <w:marBottom w:val="0"/>
                  <w:divBdr>
                    <w:top w:val="none" w:sz="0" w:space="0" w:color="auto"/>
                    <w:left w:val="none" w:sz="0" w:space="0" w:color="auto"/>
                    <w:bottom w:val="none" w:sz="0" w:space="0" w:color="auto"/>
                    <w:right w:val="none" w:sz="0" w:space="0" w:color="auto"/>
                  </w:divBdr>
                  <w:divsChild>
                    <w:div w:id="47769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7705026">
          <w:marLeft w:val="0"/>
          <w:marRight w:val="0"/>
          <w:marTop w:val="0"/>
          <w:marBottom w:val="0"/>
          <w:divBdr>
            <w:top w:val="none" w:sz="0" w:space="0" w:color="auto"/>
            <w:left w:val="none" w:sz="0" w:space="0" w:color="auto"/>
            <w:bottom w:val="none" w:sz="0" w:space="0" w:color="auto"/>
            <w:right w:val="none" w:sz="0" w:space="0" w:color="auto"/>
          </w:divBdr>
          <w:divsChild>
            <w:div w:id="843982401">
              <w:marLeft w:val="0"/>
              <w:marRight w:val="0"/>
              <w:marTop w:val="0"/>
              <w:marBottom w:val="0"/>
              <w:divBdr>
                <w:top w:val="none" w:sz="0" w:space="0" w:color="auto"/>
                <w:left w:val="none" w:sz="0" w:space="0" w:color="auto"/>
                <w:bottom w:val="none" w:sz="0" w:space="0" w:color="auto"/>
                <w:right w:val="none" w:sz="0" w:space="0" w:color="auto"/>
              </w:divBdr>
              <w:divsChild>
                <w:div w:id="1194734731">
                  <w:marLeft w:val="0"/>
                  <w:marRight w:val="0"/>
                  <w:marTop w:val="0"/>
                  <w:marBottom w:val="0"/>
                  <w:divBdr>
                    <w:top w:val="none" w:sz="0" w:space="0" w:color="auto"/>
                    <w:left w:val="none" w:sz="0" w:space="0" w:color="auto"/>
                    <w:bottom w:val="none" w:sz="0" w:space="0" w:color="auto"/>
                    <w:right w:val="none" w:sz="0" w:space="0" w:color="auto"/>
                  </w:divBdr>
                </w:div>
                <w:div w:id="1191795386">
                  <w:marLeft w:val="0"/>
                  <w:marRight w:val="0"/>
                  <w:marTop w:val="0"/>
                  <w:marBottom w:val="0"/>
                  <w:divBdr>
                    <w:top w:val="none" w:sz="0" w:space="0" w:color="auto"/>
                    <w:left w:val="none" w:sz="0" w:space="0" w:color="auto"/>
                    <w:bottom w:val="none" w:sz="0" w:space="0" w:color="auto"/>
                    <w:right w:val="none" w:sz="0" w:space="0" w:color="auto"/>
                  </w:divBdr>
                  <w:divsChild>
                    <w:div w:id="152085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5615012">
          <w:marLeft w:val="0"/>
          <w:marRight w:val="0"/>
          <w:marTop w:val="0"/>
          <w:marBottom w:val="0"/>
          <w:divBdr>
            <w:top w:val="none" w:sz="0" w:space="0" w:color="auto"/>
            <w:left w:val="none" w:sz="0" w:space="0" w:color="auto"/>
            <w:bottom w:val="none" w:sz="0" w:space="0" w:color="auto"/>
            <w:right w:val="none" w:sz="0" w:space="0" w:color="auto"/>
          </w:divBdr>
          <w:divsChild>
            <w:div w:id="785736141">
              <w:marLeft w:val="0"/>
              <w:marRight w:val="0"/>
              <w:marTop w:val="0"/>
              <w:marBottom w:val="0"/>
              <w:divBdr>
                <w:top w:val="none" w:sz="0" w:space="0" w:color="auto"/>
                <w:left w:val="none" w:sz="0" w:space="0" w:color="auto"/>
                <w:bottom w:val="none" w:sz="0" w:space="0" w:color="auto"/>
                <w:right w:val="none" w:sz="0" w:space="0" w:color="auto"/>
              </w:divBdr>
              <w:divsChild>
                <w:div w:id="2045784723">
                  <w:marLeft w:val="0"/>
                  <w:marRight w:val="0"/>
                  <w:marTop w:val="0"/>
                  <w:marBottom w:val="0"/>
                  <w:divBdr>
                    <w:top w:val="none" w:sz="0" w:space="0" w:color="auto"/>
                    <w:left w:val="none" w:sz="0" w:space="0" w:color="auto"/>
                    <w:bottom w:val="none" w:sz="0" w:space="0" w:color="auto"/>
                    <w:right w:val="none" w:sz="0" w:space="0" w:color="auto"/>
                  </w:divBdr>
                </w:div>
                <w:div w:id="1528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amindell.net/1273/processwork-theory-applications/skills-metaskills/metaskill-discussion-in-japan/"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Amy Mindell</cp:lastModifiedBy>
  <cp:revision>2</cp:revision>
  <dcterms:created xsi:type="dcterms:W3CDTF">2013-09-17T16:42:00Z</dcterms:created>
  <dcterms:modified xsi:type="dcterms:W3CDTF">2013-09-17T16:42:00Z</dcterms:modified>
</cp:coreProperties>
</file>